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253</w:t>
      </w:r>
    </w:p>
    <w:p>
      <w:r>
        <w:t>Bundesgericht (BGE), 1973-10-24, DE</w:t>
      </w:r>
    </w:p>
    <w:p>
      <w:r>
        <w:rPr>
          <w:b/>
        </w:rPr>
        <w:t xml:space="preserve">Quelle: </w:t>
      </w:r>
      <w:r>
        <w:t>https://mcp.opencaselaw.ch/entscheid/bge_99 IV 253</w:t>
      </w:r>
    </w:p>
    <w:p>
      <w:r>
        <w:t>FR: ATF 99 IV 253</w:t>
      </w:r>
    </w:p>
    <w:p>
      <w:r>
        <w:t>IT: DTF 99 IV 253</w:t>
      </w:r>
    </w:p>
    <w:p>
      <w:pPr>
        <w:pStyle w:val="Heading2"/>
      </w:pPr>
      <w:r>
        <w:t>Regeste</w:t>
      </w:r>
    </w:p>
    <w:p>
      <w:r>
        <w:t>Regeste 1. Art. 125 Abs. 1 und 126 StGB. Die durch einen Streifschuss zugefügte Verletzung kann, wenn sie geringfügig ist, Tätlichkeit sein (Erw. 1). 2. Art. 32 StGB. Rechtswidriger Gebrauch der Schusswaffe durch die Polizei. Unverhältnismässigkeit des Eingriffes (Erw. 2).</w:t>
      </w:r>
    </w:p>
    <w:p>
      <w:pPr>
        <w:pStyle w:val="Heading2"/>
      </w:pPr>
      <w:r>
        <w:t>Erwägungen</w:t>
      </w:r>
    </w:p>
    <w:p>
      <w:r>
        <w:rPr>
          <w:b/>
        </w:rPr>
        <w:t>E. 1</w:t>
      </w:r>
    </w:p>
    <w:p>
      <w:r>
        <w:t>Der Beschwerdeführer wendet gegen seine Verurteilung ein, sein Verhalten erfülle objektiv nicht den Tatbestand der einfachen Körperverletzung im Sinne von Art. 125 StGB , sondern bloss jenen der Tätlichkeit gemäss Art. 126 StGB . Da diese Bestimmung vorsätzliches Handeln voraussetze, ihm aber nur Fahrlässigkeit vorgeworfen werde, müsse er von Schuld und Strafe freigesprochen werden. Die Vorinstanz hat zu diesem Einwand, den der Beschwerdeführer bereits in der Untersuchung vorgebracht hatte, nicht Stellung genommen. Sie führt bloss aus, Ropraz habe unbestreitbar eine körperliche Schädigung erlitten, die nach den Zeugnissen der Ärzte Flury und Schmid nicht schwer gewesen sei. Der BGE 99 IV 253 S. 255 Beschwerdeführer habe zudem die Verletzung nicht vorsätzlich zugefügt. Es sei daher Art. 125 Abs. 1, nicht Absatz 2, anzuwenden. Im Arztzeugnis von Dr. Flury wird erklärt, es handle sich bei der Schädigung um eine oberflächliche, leichte Verletzung, die keine Arbeitsunfähigkeit zur Folge gehabt habe. Anschliessend wird festgestellt: "La balle a été extraite par le médecin de la région où l'accident était arrivé." Musste tatsächlich ein Steckschuss operativ entfernt werden, so liegt offensichtlich eine Körperverletzung im Sinne von Art. 125 vor, nicht bloss eine Tätlichkeit. Dem widerspricht aber das Zeugnis von Dr. Schmid, der Ropraz unmittelbar nach dem Vorfall untersucht hatte. Dieser Arzt bescheinigt, dass mit der Sonde kein Schusskanal zu finden gewesen sei und dass auch die Durchleuchtung völlig normale Verhältnisse ergeben habe, weshalb ein Steckschuss mit Sicherheit auszuschliessen sei. Nach dem weitern Befund dieses Arztes war die unterhalb der rechten Achselhöhle festgestellte Hautschwellung in der Grösse eines Zweifrankenstückes, deren Zentrum eine 4 x 4 mm messende Erosion aufwies, die Folge eines oberflächlichen Streifschusses, durch den lediglich die oberste Hautschicht angeritzt worden sei. Ist auf diese Darstellung abzustellen, muss die geschilderte Ritzung und Schwellung der Haut, auch wenn sie anfänglich etwelche Schmerzen verursachte, nach ihrer Art und Grösse mit einer geringfügigen Schürfwunde verglichen und damit lediglich als Tätlichkeit bewertet werden. Auf Grund der vorinstanzlichen Erwägungen, die sich mit dem zum Teil widersprüchlichen Inhalt der Arztzeugnisse nicht befassen und sich zur Art und Tragweite der Körperverletzung nicht näher aussprechen, kann somit die Rechtsanwendung nicht überprüft werden. Das angefochtene Urteil ist daher gemäss Art. 277 BStP aufzuheben und die Sache zur Feststellung der wirklichen Tatfolgen und zur neuen rechtlichen Beurteilung an die Vorinstanz zurückzuweisen.</w:t>
      </w:r>
    </w:p>
    <w:p>
      <w:r>
        <w:rPr>
          <w:b/>
        </w:rPr>
        <w:t>E. 2</w:t>
      </w:r>
    </w:p>
    <w:p>
      <w:r>
        <w:t>Für den Fall, dass eine einfache Körperverletzung nach Art. 125 StGB vorliegen sollte, beruft sich der Beschwerdeführer erneut auf den Rechtfertigungsgrund des Art. 32 StGB . a) Die Vorinstanz ist nach eingehender Prüfung der Vorschriften des bernischen und freiburgischen Dienstreglements für Polizisten, die im wesentlichen übereinstimmen, zum Ergebnis gelangt, dass der Beschwerdeführer zum Gebrauch der Schusswaffe BGE 99 IV 253 S. 256 nicht berechtigt gewesen sei. Zur Begründung wird ausgeführt, die beiden Wilderer hätten den Beschwerdeführer weder gefährlich angegriffen noch mit einem gefährlichen Angriff unmittelbar bedroht. Auch habe kein Grund bestanden, die Wilderer durch Waffengebrauch an der Flucht zu hindern, da sie sich keines schweren Delikts schuldig oder verdächtig gemacht hätten, wie in den Dienstvorschriften vorausgesetzt werde. Ausserdem habe der Beschwerdeführer entgegen den Vorschriften unterlassen, die dem Gebrauch der Schusswaffe vorauszugehende Warnung abzugeben, auf die nur im Fall einer unmittelbar drohenden schweren Gefahr verzichtet werden dürfe. Diese Feststellungen beruhen auf der Auslegung und Anwendung kantonalen Verwaltungsrechts und können daher vom Kassationshof auf Nichtigkeitsbeschwerde hin nicht überprüft werden ( Art. 269 Abs. 1 BStP , BGE 94 IV 8 oben). b) Die Auffassung der Vorinstanz, dass das Vorgehen des Beschwerdeführers durch die polizeilichen Dienstvorschriften nicht gedeckt werde, ist auch unter dem Gesichtspunkt des bundesrechtlichen Grundsatzes der Verhältnismässigkeit des Eingriffes begründet. Wie verbindlich feststeht, war sich der Beschwerdeführer von Anfang an bewusst, dass er es bei Delabays und Ropraz mit Wilderern zu tun hatte, nicht mit Verbrechern, die schwerwiegender Straftaten beschuldigt oder verdächtigt werden. Unter diesen Umständen war gegen den Gebrauch der Schusswaffe zum vorneherein grösste Zurückhaltung geboten ( BGE 94 IV 9 ) und durfte der Einsatz dieses gefährlichsten Zwangsmittels nur in Betracht gezogen werden, wenn aus anderen wichtigen Gründen dazu Veranlassung bestand. Ein solcher Sachverhalt war nicht schon gegeben, als die Wilderer sich zweimal der polizeilichen Anhaltung durch Flucht entzogen und sich dadurch der Hinderung einer Amtshandlung im Sinne von Art. 286 StGB schuldig machten. Entgegen der Darstellung des Beschwerdeführers lagen auch keine hinreichenden Gründe vor, die ihn berechtigten, allgemein aufeine besondere Gefährlichkeit der Wilderer zu schliessen. Aus den Feststellungen der Vorinstanz ergibt sich, dass die Wilderer den Beschwerdeführer zu keinem Zeitpunkt mit einem unmittelbaren Angriff bedrohten, sondern einzig bestrebt waren, den Zugriff der Polizei durch Flucht zu vereiteln. Darüber konnte sich auch der Beschwerdeführer Rechenschaft ablegen, nachdem er die Wilderer während längerer Zeit verfolgt hatte. Er anerkennt denn auch, dass er sich BGE 99 IV 253 S. 257 zum Waffengebrauch nur entschlossen habe, weil er beim zweiten Fluchtversuch durch das wegfahrende Fahrzeug der Wilderer gefährdet worden sei. Allein diese Gefährdung, auch wenn sie ernstlich gewesen ist, vermag die dreifache Schussabgabe auf den Wagen der fliehenden Wilderer nicht zu entschuldigen, gleichgültig, ob die Gefährdung vorsätzlich begangen wurde oder nicht. Denn zunächst steht fest, dass der Beschwerdeführer erst zu schiessen begann, als sich das Fahrzeug bereits entfernt hatte; er war also im Zeitpunkt der Schussabgabe keiner Gefahr.mehr ausgesetzt, so dass von einer Notwehrmassnahme ( Art. 33 StGB ) nicht die Rede sein kann. Sodann ist zu berücksichtigen, dass zur gewaltsamen Verhinderung der Flucht überhaupt kein zwingender Grund bestand, da der Beschwerdeführer den Namen des Fahrzeuglenkers bereits gekannt hat und zudem auch auf Grund des Fahrzeugkontrollschildes die Möglichkeit hatte, die beiden Wilderer durch die zuständige Ortspolizei anhalten zu lassen. Der Gebrauch der Schusswaffe erweist sich somit im Verhältnis zum verfolgten Zweck, der durch ungefährlichere Mittel hätte erreicht werden können, als unangemessen, weshalb die Vorinstanz die Anwendung von Art. 32 StGB zu Recht abgelehnt hat. Dispositiv Demnach erkennt der Kassationshof: Die Nichtigkeitsbeschwerde wird teilweise gutgeheissen, das Urteil des Strafkassationshofes des Kantons Freiburg vom 14. Mai 1973 aufgehoben und die Sache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